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МУНИЦИПА</w:t>
      </w:r>
      <w:r>
        <w:rPr>
          <w:rFonts w:ascii="Times New Roman" w:hAnsi="Times New Roman" w:eastAsia="Times New Roman"/>
          <w:b/>
          <w:bCs/>
          <w:sz w:val="24"/>
          <w:szCs w:val="24"/>
        </w:rPr>
        <w:t>ЛЬНЫЙЭТАП)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- </w:t>
      </w:r>
      <w:r>
        <w:rPr>
          <w:rFonts w:hint="default" w:ascii="Times New Roman" w:hAnsi="Times New Roman" w:eastAsia="Times New Roman"/>
          <w:b/>
          <w:bCs/>
          <w:sz w:val="24"/>
          <w:szCs w:val="24"/>
          <w:u w:val="single"/>
          <w:lang w:val="ru-RU"/>
        </w:rPr>
        <w:t>КЛЮЧИ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8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spacing w:after="0" w:line="360" w:lineRule="auto"/>
        <w:jc w:val="center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 каждое правильно выполненное задание участник конкурса получает 1 балл, </w:t>
      </w:r>
    </w:p>
    <w:p>
      <w:pPr>
        <w:spacing w:after="0" w:line="360" w:lineRule="auto"/>
        <w:jc w:val="center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выполненное задание частично – 0,5 балла</w:t>
      </w:r>
      <w:r>
        <w:rPr>
          <w:rFonts w:hint="default" w:ascii="Times New Roman" w:hAnsi="Times New Roman" w:eastAsia="SimSun" w:cs="Times New Roman"/>
          <w:sz w:val="24"/>
          <w:szCs w:val="24"/>
        </w:rPr>
        <w:t>, если тест выполнен неправильно – 0 баллов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  </w:t>
      </w:r>
    </w:p>
    <w:p>
      <w:pPr>
        <w:spacing w:after="0" w:line="360" w:lineRule="auto"/>
        <w:jc w:val="center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За творческое задание </w:t>
      </w:r>
      <w:bookmarkStart w:id="0" w:name="_GoBack"/>
      <w:bookmarkEnd w:id="0"/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 до 5 баллов в соответствии с предложенной ниже системой оценки.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О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</w:rPr>
        <w:t xml:space="preserve">бщая часть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textAlignment w:val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  <w:lang w:val="ru-RU"/>
        </w:rPr>
        <w:t>А) артдизайн     Б) экодизайн    В) стайлинг</w:t>
      </w:r>
      <w:r>
        <w:rPr>
          <w:rFonts w:ascii="Times New Roman" w:hAnsi="Times New Roman" w:cs="Times New Roman"/>
          <w:b w:val="0"/>
          <w:bCs/>
          <w:i/>
          <w:iCs/>
          <w:color w:val="000000"/>
          <w:sz w:val="24"/>
          <w:szCs w:val="24"/>
          <w:lang w:val="ru-RU"/>
        </w:rPr>
        <w:t xml:space="preserve"> автомобилей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textAlignment w:val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4"/>
          <w:szCs w:val="24"/>
          <w:lang w:eastAsia="ru-RU"/>
        </w:rPr>
        <w:t>г) собрать информацию о возможных путях реализации проекта.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textAlignment w:val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3.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Умный дом - это жилой дом, организованный для удобства проживания людей при помощи различных высокотехнологичных устройств.</w:t>
      </w:r>
    </w:p>
    <w:p>
      <w:pPr>
        <w:pStyle w:val="6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4. </w:t>
      </w:r>
      <w:r>
        <w:rPr>
          <w:rFonts w:ascii="Times New Roman" w:hAnsi="Times New Roman" w:cs="Times New Roman"/>
          <w:b w:val="0"/>
          <w:bCs/>
          <w:i/>
          <w:iCs/>
          <w:caps w:val="0"/>
          <w:smallCaps w:val="0"/>
          <w:color w:val="000000"/>
          <w:spacing w:val="0"/>
          <w:sz w:val="24"/>
          <w:szCs w:val="24"/>
        </w:rPr>
        <w:t>0,25кВт/ч.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textAlignment w:val="auto"/>
        <w:rPr>
          <w:rFonts w:ascii="Times New Roman" w:hAnsi="Times New Roman" w:cs="Times New Roman"/>
          <w:b w:val="0"/>
          <w:bCs/>
          <w:i/>
          <w:iCs/>
          <w:caps w:val="0"/>
          <w:smallCaps w:val="0"/>
          <w:color w:val="000000"/>
          <w:spacing w:val="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5. 1.</w:t>
      </w:r>
      <w:r>
        <w:rPr>
          <w:rFonts w:ascii="Times New Roman" w:hAnsi="Times New Roman" w:cs="Times New Roman"/>
          <w:b w:val="0"/>
          <w:bCs/>
          <w:i/>
          <w:iCs/>
          <w:caps w:val="0"/>
          <w:smallCaps w:val="0"/>
          <w:color w:val="000000"/>
          <w:spacing w:val="0"/>
          <w:sz w:val="24"/>
          <w:szCs w:val="24"/>
        </w:rPr>
        <w:t>- Б), 2. - Г),  3.- А), 4.- В), 5. - Д)</w:t>
      </w:r>
    </w:p>
    <w:p>
      <w:pPr>
        <w:pStyle w:val="14"/>
        <w:keepNext/>
        <w:rPr>
          <w:rFonts w:ascii="Times New Roman" w:hAnsi="Times New Roman"/>
          <w:i/>
          <w:sz w:val="24"/>
          <w:szCs w:val="24"/>
        </w:rPr>
      </w:pPr>
      <w:r>
        <w:rPr>
          <w:b/>
          <w:bCs/>
          <w:i/>
          <w:iCs/>
          <w:color w:val="auto"/>
        </w:rPr>
        <w:t xml:space="preserve">Специальная часть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highlight w:val="none"/>
          <w:lang w:val="en-US" w:eastAsia="ru-RU"/>
        </w:rPr>
        <w:t>Верны ли следующие утверждения?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4"/>
        <w:gridCol w:w="772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ru-RU" w:eastAsia="ru-RU"/>
              </w:rPr>
              <w:t>Утверждение по отклонениям</w:t>
            </w:r>
            <w:r>
              <w:rPr>
                <w:rFonts w:hint="default"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 xml:space="preserve"> и допускам на размеры детали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Да</w:t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  <w:t>Размер 25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superscript"/>
                <w:lang w:val="en-US" w:eastAsia="ru-RU"/>
              </w:rPr>
              <w:t>+0,5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subscript"/>
                <w:lang w:val="en-US" w:eastAsia="ru-RU"/>
              </w:rPr>
              <w:t xml:space="preserve">+0,3 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baseline"/>
                <w:lang w:val="en-US" w:eastAsia="ru-RU"/>
              </w:rPr>
              <w:t>заданный на чертеже, означает, что пригодными будут считаться все несколько изготовленных рабочим деталей с размерами 25 мм, 25,1 мм, 25,2 мм, 25,3 мм, 25,4 мм, 25,5 мм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leftChars="0" w:firstLine="0" w:firstLineChars="0"/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  <w:t>Соединение вала с отверстием называется посадкой с зазором, если  диаметр вала 45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superscript"/>
                <w:lang w:val="en-US" w:eastAsia="ru-RU"/>
              </w:rPr>
              <w:t>-0,1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subscript"/>
                <w:lang w:val="en-US" w:eastAsia="ru-RU"/>
              </w:rPr>
              <w:t>-0,2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baseline"/>
                <w:lang w:val="en-US" w:eastAsia="ru-RU"/>
              </w:rPr>
              <w:t xml:space="preserve"> мм, а диаметр отверстия 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  <w:t>45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superscript"/>
                <w:lang w:val="en-US" w:eastAsia="ru-RU"/>
              </w:rPr>
              <w:t>+0,3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subscript"/>
                <w:lang w:val="en-US" w:eastAsia="ru-RU"/>
              </w:rPr>
              <w:t>+0,1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baseline"/>
                <w:lang w:val="en-US" w:eastAsia="ru-RU"/>
              </w:rPr>
              <w:t xml:space="preserve"> мм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2"/>
                <w:sz w:val="22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>Размер, общий как для диаметра вала, так и для диаметра отверстия, называют номинальным.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2"/>
                <w:sz w:val="22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</w:p>
        </w:tc>
      </w:tr>
    </w:tbl>
    <w:p>
      <w:pPr>
        <w:widowControl w:val="0"/>
        <w:spacing w:after="0" w:line="240" w:lineRule="auto"/>
        <w:ind w:left="720"/>
        <w:rPr>
          <w:rFonts w:ascii="Times New Roman" w:hAnsi="Times New Roman" w:eastAsia="Calibri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highlight w:val="none"/>
          <w:lang w:val="ru-RU" w:eastAsia="ru-RU"/>
        </w:rPr>
        <w:t>Верны ли следующие утверждения?</w:t>
      </w:r>
    </w:p>
    <w:tbl>
      <w:tblPr>
        <w:tblStyle w:val="3"/>
        <w:tblW w:w="97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6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ru-RU" w:eastAsia="ru-RU"/>
              </w:rPr>
              <w:t>Утверждение по теме</w:t>
            </w:r>
            <w:r>
              <w:rPr>
                <w:rFonts w:hint="default"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 xml:space="preserve"> «Заточка и настройка дереворежущих инструментов»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  <w:t>1. У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 xml:space="preserve"> правильно настроенного рубанка лезвие должно располагаться над подошвой без перекосов и выступать над ней на 0,1...0,3 мм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  <w:t>2. У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 xml:space="preserve"> правильно настроенного шерхебеля лезвие должно располагаться над подошвой без перекосов и выступать над ней на 0,3...1 мм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  <w:t xml:space="preserve">3. 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>В правилах безопасной работы значится «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u w:val="single"/>
                <w:lang w:val="en-US" w:eastAsia="ru-RU"/>
              </w:rPr>
              <w:t>Не ставить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 xml:space="preserve"> рубанок и шерхебель на крышку верстака 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u w:val="single"/>
                <w:lang w:val="en-US" w:eastAsia="ru-RU"/>
              </w:rPr>
              <w:t xml:space="preserve">лезвием вниз, а укладывать на бок 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u w:val="none"/>
                <w:lang w:val="en-US" w:eastAsia="ru-RU"/>
              </w:rPr>
              <w:t>лезвием от себя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>»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2"/>
                <w:sz w:val="22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столярном шиповом соединении при толщине бруска 50 мм ширина проушины должна быть равна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: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15 мм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kern w:val="2"/>
          <w:sz w:val="40"/>
          <w:szCs w:val="40"/>
          <w:highlight w:val="none"/>
          <w:lang w:val="ru-RU" w:eastAsia="zh-CN"/>
        </w:rPr>
        <w:t xml:space="preserve">+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20 мм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25 мм;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) 30 мм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5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На рисунке изображены виды фрез. Укажите фасонную</w:t>
      </w:r>
      <w:r>
        <w:rPr>
          <w:rStyle w:val="15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фрезу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inline distT="0" distB="0" distL="114300" distR="114300">
            <wp:extent cx="4236085" cy="1625600"/>
            <wp:effectExtent l="0" t="0" r="5715" b="0"/>
            <wp:docPr id="10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6085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440" w:leftChars="200" w:firstLine="0" w:firstLineChars="0"/>
        <w:jc w:val="both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>Ответ</w:t>
      </w:r>
      <w:r>
        <w:rPr>
          <w:rFonts w:hint="default"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 xml:space="preserve">: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_В_.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технологической документации относятся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: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/>
          <w:bCs/>
          <w:sz w:val="40"/>
          <w:szCs w:val="40"/>
          <w:highlight w:val="none"/>
          <w:lang w:val="en-US" w:eastAsia="ru-RU" w:bidi="ar-SA"/>
        </w:rPr>
        <w:t xml:space="preserve">+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А) технологические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 xml:space="preserve"> карты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/>
          <w:bCs/>
          <w:sz w:val="40"/>
          <w:szCs w:val="40"/>
          <w:highlight w:val="none"/>
          <w:lang w:val="en-US" w:eastAsia="ru-RU" w:bidi="ar-SA"/>
        </w:rPr>
        <w:t xml:space="preserve">+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Б) операционные карты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/>
          <w:bCs/>
          <w:sz w:val="40"/>
          <w:szCs w:val="40"/>
          <w:highlight w:val="none"/>
          <w:lang w:val="en-US" w:eastAsia="ru-RU" w:bidi="ar-SA"/>
        </w:rPr>
        <w:t xml:space="preserve">+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В) операционные чертежи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/>
          <w:bCs/>
          <w:sz w:val="40"/>
          <w:szCs w:val="40"/>
          <w:highlight w:val="none"/>
          <w:lang w:val="en-US" w:eastAsia="ru-RU" w:bidi="ar-SA"/>
        </w:rPr>
        <w:t xml:space="preserve">+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Г) маршрутные карты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/>
          <w:bCs/>
          <w:sz w:val="40"/>
          <w:szCs w:val="40"/>
          <w:highlight w:val="none"/>
          <w:lang w:val="en-US" w:eastAsia="ru-RU" w:bidi="ar-SA"/>
        </w:rPr>
        <w:t xml:space="preserve">+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ведомости заказа и норм расхода материалов, полуфабрикатов, инструментов, принадлежностей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/>
          <w:bCs/>
          <w:sz w:val="40"/>
          <w:szCs w:val="40"/>
          <w:highlight w:val="none"/>
          <w:lang w:val="en-US" w:eastAsia="ru-RU" w:bidi="ar-SA"/>
        </w:rPr>
        <w:t xml:space="preserve">+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инструкции и документы, используемые в основном производстве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color w:val="FF0000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Расшифруйте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значение предложенных ниже аббревиатур</w:t>
      </w:r>
    </w:p>
    <w:tbl>
      <w:tblPr>
        <w:tblStyle w:val="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9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43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ГСС</w:t>
            </w:r>
          </w:p>
        </w:tc>
        <w:tc>
          <w:tcPr>
            <w:tcW w:w="9230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Государственная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 xml:space="preserve"> система стандартизации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" w:hRule="atLeast"/>
        </w:trPr>
        <w:tc>
          <w:tcPr>
            <w:tcW w:w="1043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ЕСТД</w:t>
            </w:r>
          </w:p>
        </w:tc>
        <w:tc>
          <w:tcPr>
            <w:tcW w:w="9230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Единая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 xml:space="preserve"> система технологической документации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43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ССБТ</w:t>
            </w:r>
          </w:p>
        </w:tc>
        <w:tc>
          <w:tcPr>
            <w:tcW w:w="9230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Система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 xml:space="preserve"> стандартов безопасности труда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43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СГИП</w:t>
            </w:r>
          </w:p>
        </w:tc>
        <w:tc>
          <w:tcPr>
            <w:tcW w:w="9230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Система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 xml:space="preserve"> государственных испытаний продукции</w:t>
            </w:r>
          </w:p>
        </w:tc>
      </w:tr>
    </w:tbl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 технологии существует такое понятие, как «установ». Поясните его значение (вместо определения можно привести пример, раскрывающий смысл понятия)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rPr>
          <w:rFonts w:hint="default"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>Ответ: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firstLine="708" w:firstLineChars="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Установ - это 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firstLine="708" w:firstLineChars="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Часть технологической операции, выполняемая при неизменном закреплении обрабатываемой заготовки. Пример: если строгаем базовую пласть заготовки, закрепленной на столе верстака, - это установ 1. Затем строгаем базовую кромку, для чего заготовку следует установить в зажим верстака, - это будет установ 2.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Как называется узкая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стамеска, применяемая для подрезания торцов и проточки канавок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?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Впишите буквы в пустые клетки.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Ш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Т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И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Е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Л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Ь</w:t>
            </w: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Вставьте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 пустые ячейки таблицы «Классификация сталей» следующие марки сталей: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jc w:val="both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Сталь Ст3, Сталь У8, Сталь 40Х, Сталь 45, Сталь ХВГ.</w:t>
      </w:r>
    </w:p>
    <w:tbl>
      <w:tblPr>
        <w:tblStyle w:val="8"/>
        <w:tblW w:w="0" w:type="auto"/>
        <w:tblInd w:w="7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0"/>
        <w:gridCol w:w="2950"/>
        <w:gridCol w:w="2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0" w:type="dxa"/>
            <w:vMerge w:val="restart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По</w:t>
            </w:r>
            <w:r>
              <w:rPr>
                <w:rFonts w:hint="default"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химическому составу</w:t>
            </w:r>
          </w:p>
        </w:tc>
        <w:tc>
          <w:tcPr>
            <w:tcW w:w="5750" w:type="dxa"/>
            <w:gridSpan w:val="2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По</w:t>
            </w:r>
            <w:r>
              <w:rPr>
                <w:rFonts w:hint="default"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применению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0" w:type="dxa"/>
            <w:vMerge w:val="continue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</w:p>
        </w:tc>
        <w:tc>
          <w:tcPr>
            <w:tcW w:w="295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Конструкционные</w:t>
            </w:r>
          </w:p>
        </w:tc>
        <w:tc>
          <w:tcPr>
            <w:tcW w:w="280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Инструментальные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Углеродистая</w:t>
            </w:r>
          </w:p>
        </w:tc>
        <w:tc>
          <w:tcPr>
            <w:tcW w:w="295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Сталь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Ст3</w:t>
            </w: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Сталь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45</w:t>
            </w:r>
          </w:p>
        </w:tc>
        <w:tc>
          <w:tcPr>
            <w:tcW w:w="280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Сталь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У8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Легированная</w:t>
            </w:r>
          </w:p>
        </w:tc>
        <w:tc>
          <w:tcPr>
            <w:tcW w:w="295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Сталь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40Х</w:t>
            </w: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</w:p>
        </w:tc>
        <w:tc>
          <w:tcPr>
            <w:tcW w:w="280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Сталь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ХВГ</w:t>
            </w:r>
          </w:p>
        </w:tc>
      </w:tr>
    </w:tbl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color w:val="FF0000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Задание по теме «Нарезание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резьбы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». Подпишите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названия основных элементов метчика, изображенного ниже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0"/>
        </w:numPr>
        <w:suppressAutoHyphens/>
        <w:spacing w:after="0" w:line="240" w:lineRule="auto"/>
        <w:jc w:val="center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inline distT="0" distB="0" distL="114300" distR="114300">
            <wp:extent cx="2860040" cy="1793240"/>
            <wp:effectExtent l="0" t="0" r="10160" b="10160"/>
            <wp:docPr id="11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0040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Задание по теме «Выполнение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мозаичного набора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»</w:t>
      </w:r>
    </w:p>
    <w:p>
      <w:pPr>
        <w:widowControl w:val="0"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Опишите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технологию получения мозаичного набора - «набор в бумагу»</w:t>
      </w:r>
    </w:p>
    <w:p>
      <w:pPr>
        <w:widowControl w:val="0"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На лист плотной бумаги переводя рисунок, вырезают отдельные элементы мозаики и наклеивают их на бумагу вплотную друг к другу, заполняя весь рисунок. Готовый набор наклеивают на основу и после высыхания клея бумагу слегка смачивают и удаляют.</w:t>
      </w:r>
    </w:p>
    <w:p>
      <w:pPr>
        <w:widowControl w:val="0"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Готовый приклеенный мозаичный набор обрабатывают шлифовальной колодкой с мелкозернистой шкуркой и покрывают бесцветным лаком.</w:t>
      </w:r>
    </w:p>
    <w:p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Разработайте конструкцию ящика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для ручных инструментов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– прием эмпатии.</w:t>
      </w:r>
    </w:p>
    <w:p>
      <w:pPr>
        <w:widowControl/>
        <w:tabs>
          <w:tab w:val="left" w:pos="660"/>
        </w:tabs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bCs/>
          <w:i/>
          <w:iCs/>
          <w:kern w:val="2"/>
          <w:sz w:val="24"/>
          <w:szCs w:val="24"/>
          <w:highlight w:val="none"/>
          <w:lang w:val="ru-RU" w:eastAsia="ru-RU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Обучающиеся должны продемонстрировать понимание сути приема эмпатии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Разработайте конструкцию ящика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для ручных инструментов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– прием фантазии.</w:t>
      </w:r>
    </w:p>
    <w:p>
      <w:pPr>
        <w:widowControl/>
        <w:tabs>
          <w:tab w:val="left" w:pos="660"/>
        </w:tabs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bCs/>
          <w:i/>
          <w:iCs/>
          <w:kern w:val="2"/>
          <w:sz w:val="24"/>
          <w:szCs w:val="24"/>
          <w:highlight w:val="none"/>
          <w:lang w:val="ru-RU" w:eastAsia="ru-RU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Обучающиеся должны продемонстрировать понимание сути приема фантазии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Задание по теме «Чертежи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деталей, изготовляемых на токарном и фрезером станках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». Постройте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разрез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и сечение для детали с секущей плоскостью, изображенной ниже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: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inline distT="0" distB="0" distL="114300" distR="114300">
            <wp:extent cx="3865245" cy="2673350"/>
            <wp:effectExtent l="0" t="0" r="8255" b="6350"/>
            <wp:docPr id="9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6524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660" w:leftChars="300" w:firstLine="0" w:firstLineChars="0"/>
        <w:jc w:val="both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Примечание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: </w:t>
      </w:r>
    </w:p>
    <w:p>
      <w:pPr>
        <w:widowControl w:val="0"/>
        <w:suppressAutoHyphens/>
        <w:spacing w:after="0" w:line="240" w:lineRule="auto"/>
        <w:ind w:left="660" w:leftChars="300" w:firstLine="0" w:firstLineChars="0"/>
        <w:jc w:val="both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 - деталь с секущей плоскостью; </w:t>
      </w:r>
    </w:p>
    <w:p>
      <w:pPr>
        <w:widowControl w:val="0"/>
        <w:suppressAutoHyphens/>
        <w:spacing w:after="0" w:line="240" w:lineRule="auto"/>
        <w:ind w:left="660" w:leftChars="300" w:firstLine="0" w:firstLineChars="0"/>
        <w:jc w:val="both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 - рассеченная деталь; </w:t>
      </w:r>
    </w:p>
    <w:p>
      <w:pPr>
        <w:widowControl w:val="0"/>
        <w:suppressAutoHyphens/>
        <w:spacing w:after="0" w:line="240" w:lineRule="auto"/>
        <w:ind w:left="660" w:leftChars="300" w:firstLine="0" w:firstLineChars="0"/>
        <w:jc w:val="both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 - обозначение секущей плоскости на чертеже.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Установите правильную последовательность операций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, составляющих технологию точения декоративных изделий с внутренней полостью (например, ваза, чаша и т.д.)</w:t>
      </w: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: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А) установка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заготовки на станок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Б) обработка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внутренней полости рейером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В) зачистка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донышка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Г) обработка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полости крючком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Д) подрезание основания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Е) черновое точение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i/>
          <w:color w:val="000000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_А_, _Е_, _Б_, _Г_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, _В_, _Д_</w:t>
      </w: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задание, требующее решения, логического мышления и творческого подхода.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Опишите процесс изготовления трости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для ходьбы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 следующей последовательности:</w:t>
      </w:r>
    </w:p>
    <w:p>
      <w:pPr>
        <w:widowControl w:val="0"/>
        <w:numPr>
          <w:ilvl w:val="0"/>
          <w:numId w:val="3"/>
        </w:numPr>
        <w:suppressAutoHyphens/>
        <w:spacing w:after="0" w:line="24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разработайте конструкцию изделия;</w:t>
      </w:r>
    </w:p>
    <w:p>
      <w:pPr>
        <w:widowControl w:val="0"/>
        <w:numPr>
          <w:ilvl w:val="0"/>
          <w:numId w:val="3"/>
        </w:numPr>
        <w:suppressAutoHyphens/>
        <w:spacing w:after="0" w:line="24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выберите материал;</w:t>
      </w:r>
    </w:p>
    <w:p>
      <w:pPr>
        <w:widowControl w:val="0"/>
        <w:numPr>
          <w:ilvl w:val="0"/>
          <w:numId w:val="3"/>
        </w:numPr>
        <w:suppressAutoHyphens/>
        <w:spacing w:after="0" w:line="240" w:lineRule="auto"/>
        <w:ind w:left="1077" w:hanging="357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нарисуйте эскиз с выбранными вами формой и размерами;</w:t>
      </w:r>
    </w:p>
    <w:p>
      <w:pPr>
        <w:widowControl w:val="0"/>
        <w:numPr>
          <w:ilvl w:val="0"/>
          <w:numId w:val="3"/>
        </w:numPr>
        <w:suppressAutoHyphens/>
        <w:spacing w:after="0" w:line="24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опишите в технологической карте этапы изготовления изделия и необходимые во время работы оборудование, инструменты, приспособления;</w:t>
      </w:r>
    </w:p>
    <w:p>
      <w:pPr>
        <w:widowControl w:val="0"/>
        <w:numPr>
          <w:ilvl w:val="0"/>
          <w:numId w:val="3"/>
        </w:numPr>
        <w:suppressAutoHyphens/>
        <w:spacing w:after="0" w:line="24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предложите варианты декоративной отделки готового изделия.</w:t>
      </w:r>
    </w:p>
    <w:p>
      <w:pPr>
        <w:widowControl w:val="0"/>
        <w:suppressAutoHyphens/>
        <w:spacing w:after="0" w:line="360" w:lineRule="auto"/>
        <w:ind w:left="360"/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</w:pPr>
    </w:p>
    <w:p>
      <w:pPr>
        <w:widowControl w:val="0"/>
        <w:suppressAutoHyphens/>
        <w:spacing w:after="0" w:line="360" w:lineRule="auto"/>
        <w:ind w:left="360"/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</w:pPr>
      <w:r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  <w:t>Оценка творческого задания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  <w:t xml:space="preserve">Содержание верного ответа 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i/>
                <w:kern w:val="2"/>
                <w:sz w:val="22"/>
                <w:szCs w:val="22"/>
                <w:highlight w:val="none"/>
                <w:lang w:val="ru-RU" w:eastAsia="zh-CN"/>
              </w:rPr>
              <w:t>(допускаются иные формулировки ответа – оценивать по смыслу)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Количество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4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К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онструкция разработана.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Материал изготовления выбран и обоснован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4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Эскиз изделия выполнен правильно: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выполнение эскиза в масштабе; 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указание на эскизе всех необходимых линий; 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- указание на эскизе габаритных размеров.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1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4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Выбрано оборудование, на котором будет изготовлено данное изделие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основные технологические операции, которые должны быть применены при изготовлении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все инструменты и приспособления, необходимые для изготовления данного изделия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>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2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4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Грамотно подобран вид отделки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  <w:t>Итого: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5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</w:tbl>
    <w:p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sectPr>
      <w:pgSz w:w="11906" w:h="16838"/>
      <w:pgMar w:top="624" w:right="624" w:bottom="624" w:left="62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88050B"/>
    <w:multiLevelType w:val="multilevel"/>
    <w:tmpl w:val="52880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98010"/>
    <w:multiLevelType w:val="singleLevel"/>
    <w:tmpl w:val="6089801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11CD9"/>
    <w:multiLevelType w:val="multilevel"/>
    <w:tmpl w:val="62011CD9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CC2"/>
    <w:rsid w:val="00013938"/>
    <w:rsid w:val="00066139"/>
    <w:rsid w:val="000714E3"/>
    <w:rsid w:val="000C42FD"/>
    <w:rsid w:val="00116083"/>
    <w:rsid w:val="00125308"/>
    <w:rsid w:val="00154C01"/>
    <w:rsid w:val="00272D80"/>
    <w:rsid w:val="003553CF"/>
    <w:rsid w:val="003E446A"/>
    <w:rsid w:val="00443A1D"/>
    <w:rsid w:val="0045019D"/>
    <w:rsid w:val="004514AA"/>
    <w:rsid w:val="004B1D40"/>
    <w:rsid w:val="00525B49"/>
    <w:rsid w:val="005933F2"/>
    <w:rsid w:val="00643FE6"/>
    <w:rsid w:val="006A7B01"/>
    <w:rsid w:val="00734404"/>
    <w:rsid w:val="007432AF"/>
    <w:rsid w:val="007A42C7"/>
    <w:rsid w:val="007E0332"/>
    <w:rsid w:val="00877904"/>
    <w:rsid w:val="00942D33"/>
    <w:rsid w:val="00952BEC"/>
    <w:rsid w:val="009B5EBA"/>
    <w:rsid w:val="00A5564A"/>
    <w:rsid w:val="00AD534A"/>
    <w:rsid w:val="00AE6CC2"/>
    <w:rsid w:val="00B255F0"/>
    <w:rsid w:val="00B92BAA"/>
    <w:rsid w:val="00C12000"/>
    <w:rsid w:val="00C655B1"/>
    <w:rsid w:val="00CE33BD"/>
    <w:rsid w:val="00CF1C9D"/>
    <w:rsid w:val="00D81079"/>
    <w:rsid w:val="00DE265D"/>
    <w:rsid w:val="00F5753C"/>
    <w:rsid w:val="00F60BA5"/>
    <w:rsid w:val="03AE29CA"/>
    <w:rsid w:val="03B253AF"/>
    <w:rsid w:val="08621D98"/>
    <w:rsid w:val="0E94254A"/>
    <w:rsid w:val="155642BD"/>
    <w:rsid w:val="17BE79C6"/>
    <w:rsid w:val="1D1C1A55"/>
    <w:rsid w:val="21923408"/>
    <w:rsid w:val="33CB64AF"/>
    <w:rsid w:val="35576C08"/>
    <w:rsid w:val="375F6320"/>
    <w:rsid w:val="3F66556D"/>
    <w:rsid w:val="43E97BEC"/>
    <w:rsid w:val="460411F8"/>
    <w:rsid w:val="47091962"/>
    <w:rsid w:val="4FA6474A"/>
    <w:rsid w:val="568C4D35"/>
    <w:rsid w:val="5F9E7B7F"/>
    <w:rsid w:val="675858F5"/>
    <w:rsid w:val="6C956F5A"/>
    <w:rsid w:val="70F22AED"/>
    <w:rsid w:val="729D3460"/>
    <w:rsid w:val="75204CD7"/>
    <w:rsid w:val="75223E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67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20"/>
    <w:rPr>
      <w:i/>
      <w:iCs/>
    </w:rPr>
  </w:style>
  <w:style w:type="paragraph" w:styleId="5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Body Text"/>
    <w:basedOn w:val="1"/>
    <w:qFormat/>
    <w:uiPriority w:val="67"/>
    <w:pPr>
      <w:spacing w:before="0" w:after="120"/>
    </w:p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8">
    <w:name w:val="Table Grid"/>
    <w:basedOn w:val="3"/>
    <w:qFormat/>
    <w:uiPriority w:val="59"/>
    <w:pPr>
      <w:spacing w:after="0" w:line="240" w:lineRule="auto"/>
    </w:pPr>
    <w:rPr>
      <w:rFonts w:ascii="Times New Roman" w:hAnsi="Times New Roman" w:eastAsia="MS Mincho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table" w:customStyle="1" w:styleId="10">
    <w:name w:val="Сетка таблицы1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2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Сетка таблицы3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Текст выноски Знак"/>
    <w:link w:val="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4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character" w:customStyle="1" w:styleId="15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1417</Words>
  <Characters>8079</Characters>
  <Lines>67</Lines>
  <Paragraphs>18</Paragraphs>
  <TotalTime>2</TotalTime>
  <ScaleCrop>false</ScaleCrop>
  <LinksUpToDate>false</LinksUpToDate>
  <CharactersWithSpaces>9478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2021-10-25T07:57:00Z</dcterms:created>
  <dc:creator>user</dc:creator>
  <cp:lastModifiedBy>serge</cp:lastModifiedBy>
  <dcterms:modified xsi:type="dcterms:W3CDTF">2021-12-10T12:16:23Z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E13F29461B8549CAA59CC9C4274CED18</vt:lpwstr>
  </property>
</Properties>
</file>